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5F" w:rsidRPr="002B40E5" w:rsidRDefault="002B40E5" w:rsidP="002B40E5">
      <w:pPr>
        <w:jc w:val="center"/>
        <w:rPr>
          <w:b/>
        </w:rPr>
      </w:pPr>
      <w:bookmarkStart w:id="0" w:name="_GoBack"/>
      <w:bookmarkEnd w:id="0"/>
      <w:r w:rsidRPr="002B40E5">
        <w:rPr>
          <w:b/>
        </w:rPr>
        <w:t>REGULACIÓN SOBRE SEGUNDAS OPINIONES MÉDICAS EN LAS DISTINTAS CCAA</w:t>
      </w:r>
    </w:p>
    <w:p w:rsidR="004C0232" w:rsidRPr="004C0232" w:rsidRDefault="004C0232" w:rsidP="004C0232">
      <w:pPr>
        <w:spacing w:before="100" w:beforeAutospacing="1" w:after="100" w:afterAutospacing="1"/>
        <w:jc w:val="left"/>
        <w:rPr>
          <w:rFonts w:eastAsia="Times New Roman" w:cs="Arial"/>
          <w:color w:val="000000"/>
          <w:sz w:val="17"/>
          <w:szCs w:val="17"/>
          <w:lang w:eastAsia="es-ES"/>
        </w:rPr>
      </w:pPr>
      <w:r w:rsidRPr="004C0232">
        <w:rPr>
          <w:rFonts w:eastAsia="Times New Roman" w:cs="Arial"/>
          <w:color w:val="000000"/>
          <w:sz w:val="17"/>
          <w:szCs w:val="17"/>
          <w:lang w:eastAsia="es-ES"/>
        </w:rPr>
        <w:t>En España, dentro del sistema público de salud, toda persona tiene derecho a disponer de una segunda opinión médica sobre su proceso en los términos previstos en la legislación vigente. (Decreto 51/2010, de 29 de julio).</w:t>
      </w:r>
    </w:p>
    <w:p w:rsidR="004C0232" w:rsidRPr="004C0232" w:rsidRDefault="004C0232" w:rsidP="004C0232">
      <w:pPr>
        <w:numPr>
          <w:ilvl w:val="0"/>
          <w:numId w:val="3"/>
        </w:numPr>
        <w:spacing w:before="100" w:beforeAutospacing="1" w:after="100" w:afterAutospacing="1"/>
        <w:jc w:val="left"/>
        <w:rPr>
          <w:rFonts w:eastAsia="Times New Roman" w:cs="Arial"/>
          <w:color w:val="000000"/>
          <w:sz w:val="17"/>
          <w:szCs w:val="17"/>
          <w:lang w:eastAsia="es-ES"/>
        </w:rPr>
      </w:pPr>
      <w:r w:rsidRPr="004C0232">
        <w:rPr>
          <w:rFonts w:eastAsia="Times New Roman" w:cs="Arial"/>
          <w:color w:val="000000"/>
          <w:sz w:val="17"/>
          <w:szCs w:val="17"/>
          <w:lang w:eastAsia="es-ES"/>
        </w:rPr>
        <w:t>Las solicitudes de segunda opinión se diferencian de las de libre elección en que el paciente que solicita una segunda opinión no se desvincula de la consulta en la que ha sido atendido.</w:t>
      </w:r>
    </w:p>
    <w:p w:rsidR="004C0232" w:rsidRPr="004C0232" w:rsidRDefault="004C0232" w:rsidP="004C0232">
      <w:pPr>
        <w:numPr>
          <w:ilvl w:val="0"/>
          <w:numId w:val="4"/>
        </w:numPr>
        <w:spacing w:before="100" w:beforeAutospacing="1" w:after="100" w:afterAutospacing="1"/>
        <w:jc w:val="left"/>
        <w:rPr>
          <w:rFonts w:eastAsia="Times New Roman" w:cs="Arial"/>
          <w:color w:val="000000"/>
          <w:sz w:val="17"/>
          <w:szCs w:val="17"/>
          <w:lang w:eastAsia="es-ES"/>
        </w:rPr>
      </w:pPr>
      <w:r w:rsidRPr="004C0232">
        <w:rPr>
          <w:rFonts w:eastAsia="Times New Roman" w:cs="Arial"/>
          <w:color w:val="000000"/>
          <w:sz w:val="17"/>
          <w:szCs w:val="17"/>
          <w:lang w:eastAsia="es-ES"/>
        </w:rPr>
        <w:t>Una vez obtenida la segunda opinión, el paciente vuelve al hospital desde el que la solicitó, a no ser que exprese su voluntad de continuar el seguimiento en el hospital elegido para la segunda opinión.</w:t>
      </w:r>
    </w:p>
    <w:p w:rsidR="002B40E5" w:rsidRPr="002B40E5" w:rsidRDefault="002B40E5">
      <w:pPr>
        <w:rPr>
          <w:color w:val="FF0000"/>
        </w:rPr>
      </w:pPr>
      <w:r w:rsidRPr="002B40E5">
        <w:rPr>
          <w:color w:val="FF0000"/>
        </w:rPr>
        <w:t>ANDALUCÍA</w:t>
      </w:r>
    </w:p>
    <w:p w:rsidR="002B40E5" w:rsidRPr="002B40E5" w:rsidRDefault="002B40E5" w:rsidP="002B40E5">
      <w:pPr>
        <w:spacing w:before="120" w:after="120"/>
        <w:jc w:val="left"/>
        <w:outlineLvl w:val="1"/>
        <w:rPr>
          <w:rFonts w:ascii="Verdana" w:eastAsia="Times New Roman" w:hAnsi="Verdana" w:cs="Times New Roman"/>
          <w:b/>
          <w:bCs/>
          <w:color w:val="2D6F53"/>
          <w:sz w:val="17"/>
          <w:szCs w:val="17"/>
          <w:lang w:eastAsia="es-ES"/>
        </w:rPr>
      </w:pPr>
      <w:bookmarkStart w:id="1" w:name="normativa"/>
      <w:r w:rsidRPr="002B40E5">
        <w:rPr>
          <w:rFonts w:ascii="Verdana" w:eastAsia="Times New Roman" w:hAnsi="Verdana" w:cs="Times New Roman"/>
          <w:b/>
          <w:bCs/>
          <w:color w:val="2D6F53"/>
          <w:sz w:val="17"/>
          <w:szCs w:val="17"/>
          <w:lang w:eastAsia="es-ES"/>
        </w:rPr>
        <w:t>Normativa:</w:t>
      </w:r>
      <w:bookmarkEnd w:id="1"/>
    </w:p>
    <w:p w:rsidR="002B40E5" w:rsidRPr="002B40E5" w:rsidRDefault="002B40E5" w:rsidP="002B40E5">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es-ES"/>
        </w:rPr>
      </w:pPr>
      <w:r w:rsidRPr="002B40E5">
        <w:rPr>
          <w:rFonts w:ascii="Verdana" w:eastAsia="Times New Roman" w:hAnsi="Verdana" w:cs="Times New Roman"/>
          <w:color w:val="000000"/>
          <w:sz w:val="17"/>
          <w:szCs w:val="17"/>
          <w:lang w:eastAsia="es-ES"/>
        </w:rPr>
        <w:t>Ley 2/1998, de 15 de Junio, de Salud de Andalucía. </w:t>
      </w:r>
      <w:hyperlink r:id="rId6" w:history="1">
        <w:r w:rsidRPr="002B40E5">
          <w:rPr>
            <w:rFonts w:ascii="Verdana" w:eastAsia="Times New Roman" w:hAnsi="Verdana" w:cs="Times New Roman"/>
            <w:color w:val="0000FF"/>
            <w:sz w:val="17"/>
            <w:szCs w:val="17"/>
            <w:u w:val="single"/>
            <w:lang w:eastAsia="es-ES"/>
          </w:rPr>
          <w:t>Boja 74 de 04/07/1998</w:t>
        </w:r>
      </w:hyperlink>
    </w:p>
    <w:p w:rsidR="002B40E5" w:rsidRPr="002B40E5" w:rsidRDefault="002B40E5" w:rsidP="002B40E5">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es-ES"/>
        </w:rPr>
      </w:pPr>
      <w:r w:rsidRPr="002B40E5">
        <w:rPr>
          <w:rFonts w:ascii="Verdana" w:eastAsia="Times New Roman" w:hAnsi="Verdana" w:cs="Times New Roman"/>
          <w:color w:val="000000"/>
          <w:sz w:val="17"/>
          <w:szCs w:val="17"/>
          <w:lang w:eastAsia="es-ES"/>
        </w:rPr>
        <w:t>Decreto 127/2003 de 13 de mayo por el que se establece el ejercicio del derecho a la segunda opinión médica en el Sistema Sanitario Público de Andalucía. </w:t>
      </w:r>
      <w:hyperlink r:id="rId7" w:history="1">
        <w:r w:rsidRPr="002B40E5">
          <w:rPr>
            <w:rFonts w:ascii="Verdana" w:eastAsia="Times New Roman" w:hAnsi="Verdana" w:cs="Times New Roman"/>
            <w:color w:val="0000FF"/>
            <w:sz w:val="17"/>
            <w:szCs w:val="17"/>
            <w:u w:val="single"/>
            <w:lang w:eastAsia="es-ES"/>
          </w:rPr>
          <w:t>Boja 102 de 30/05/2003</w:t>
        </w:r>
      </w:hyperlink>
    </w:p>
    <w:p w:rsidR="002B40E5" w:rsidRPr="002B40E5" w:rsidRDefault="002B40E5" w:rsidP="002B40E5">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es-ES"/>
        </w:rPr>
      </w:pPr>
      <w:r w:rsidRPr="002B40E5">
        <w:rPr>
          <w:rFonts w:ascii="Verdana" w:eastAsia="Times New Roman" w:hAnsi="Verdana" w:cs="Times New Roman"/>
          <w:color w:val="000000"/>
          <w:sz w:val="17"/>
          <w:szCs w:val="17"/>
          <w:lang w:eastAsia="es-ES"/>
        </w:rPr>
        <w:t>Orden de 24 de agosto de 2004, que desarrolla el anterior Decreto. </w:t>
      </w:r>
      <w:hyperlink r:id="rId8" w:history="1">
        <w:r w:rsidRPr="002B40E5">
          <w:rPr>
            <w:rFonts w:ascii="Verdana" w:eastAsia="Times New Roman" w:hAnsi="Verdana" w:cs="Times New Roman"/>
            <w:color w:val="0000FF"/>
            <w:sz w:val="17"/>
            <w:szCs w:val="17"/>
            <w:u w:val="single"/>
            <w:lang w:eastAsia="es-ES"/>
          </w:rPr>
          <w:t>Boja 173 de 03/09/2004</w:t>
        </w:r>
      </w:hyperlink>
    </w:p>
    <w:p w:rsidR="002B40E5" w:rsidRDefault="002B40E5">
      <w:r>
        <w:t xml:space="preserve">Fuente: web Junta Andalucía. </w:t>
      </w:r>
    </w:p>
    <w:p w:rsidR="002B40E5" w:rsidRDefault="002B40E5">
      <w:r w:rsidRPr="002B40E5">
        <w:t>http://ws003.juntadeandalucia.es/pls/intersas/servicios.informacion_segunda_opinion</w:t>
      </w:r>
    </w:p>
    <w:p w:rsidR="002B40E5" w:rsidRDefault="002B40E5">
      <w:r w:rsidRPr="002B40E5">
        <w:rPr>
          <w:color w:val="FF0000"/>
        </w:rPr>
        <w:t xml:space="preserve">CATALUÑA </w:t>
      </w:r>
    </w:p>
    <w:p w:rsidR="002B40E5" w:rsidRDefault="002B40E5">
      <w:proofErr w:type="gramStart"/>
      <w:r>
        <w:t>normativa</w:t>
      </w:r>
      <w:proofErr w:type="gramEnd"/>
    </w:p>
    <w:p w:rsidR="002B40E5" w:rsidRPr="002B40E5" w:rsidRDefault="006C7FA3" w:rsidP="002B40E5">
      <w:pPr>
        <w:numPr>
          <w:ilvl w:val="0"/>
          <w:numId w:val="2"/>
        </w:numPr>
        <w:shd w:val="clear" w:color="auto" w:fill="FFFFFF"/>
        <w:spacing w:beforeAutospacing="1" w:after="0" w:afterAutospacing="1" w:line="384" w:lineRule="atLeast"/>
        <w:jc w:val="left"/>
        <w:textAlignment w:val="top"/>
        <w:rPr>
          <w:rFonts w:ascii="Verdana" w:eastAsia="Times New Roman" w:hAnsi="Verdana" w:cs="Times New Roman"/>
          <w:color w:val="000000"/>
          <w:sz w:val="17"/>
          <w:szCs w:val="17"/>
          <w:lang w:eastAsia="es-ES"/>
        </w:rPr>
      </w:pPr>
      <w:hyperlink r:id="rId9" w:tooltip="Este enlace lleva a otro sitio web: Decreto 125/2005, de 5 de junio, por el que se regula el ejercicio del derecho a obtener una segunda opinión médica" w:history="1">
        <w:r w:rsidR="002B40E5" w:rsidRPr="002B40E5">
          <w:rPr>
            <w:rFonts w:ascii="Verdana" w:eastAsia="Times New Roman" w:hAnsi="Verdana" w:cs="Times New Roman"/>
            <w:b/>
            <w:bCs/>
            <w:color w:val="01709D"/>
            <w:sz w:val="16"/>
            <w:szCs w:val="16"/>
            <w:lang w:eastAsia="es-ES"/>
          </w:rPr>
          <w:t>Decreto 125/2005, de 5 de junio, por el que se regula el ejercicio del derecho a obtener una segunda opinión médica</w:t>
        </w:r>
      </w:hyperlink>
      <w:r w:rsidR="002B40E5" w:rsidRPr="002B40E5">
        <w:rPr>
          <w:rFonts w:ascii="Verdana" w:eastAsia="Times New Roman" w:hAnsi="Verdana" w:cs="Times New Roman"/>
          <w:color w:val="000000"/>
          <w:sz w:val="17"/>
          <w:szCs w:val="17"/>
          <w:lang w:eastAsia="es-ES"/>
        </w:rPr>
        <w:t> </w:t>
      </w:r>
      <w:hyperlink r:id="rId10" w:tooltip="Aquest enllaç porta a un altre lloc web: Decreto 125/2005, de 5 de junio, por el que se regula el ejercicio del derecho a obtener una segunda opinión médica" w:history="1">
        <w:r w:rsidR="002B40E5" w:rsidRPr="002B40E5">
          <w:rPr>
            <w:rFonts w:ascii="Verdana" w:eastAsia="Times New Roman" w:hAnsi="Verdana" w:cs="Times New Roman"/>
            <w:b/>
            <w:bCs/>
            <w:color w:val="4D4D4D"/>
            <w:sz w:val="16"/>
            <w:szCs w:val="16"/>
            <w:u w:val="single"/>
            <w:lang w:eastAsia="es-ES"/>
          </w:rPr>
          <w:t> </w:t>
        </w:r>
      </w:hyperlink>
    </w:p>
    <w:p w:rsidR="002B40E5" w:rsidRDefault="002B40E5">
      <w:r>
        <w:t xml:space="preserve">Fuente: </w:t>
      </w:r>
      <w:hyperlink r:id="rId11" w:history="1">
        <w:r w:rsidRPr="008844A0">
          <w:rPr>
            <w:rStyle w:val="Hipervnculo"/>
          </w:rPr>
          <w:t>http://catsalut.gencat.cat/es/ciutadania/que-vols-fer/gestions-relacionades-visites-diagnostics-metges-centres/demanar-segona-opinio-medica/</w:t>
        </w:r>
      </w:hyperlink>
    </w:p>
    <w:p w:rsidR="002B40E5" w:rsidRDefault="002B40E5"/>
    <w:p w:rsidR="002B40E5" w:rsidRDefault="002B40E5">
      <w:pPr>
        <w:rPr>
          <w:color w:val="FF0000"/>
        </w:rPr>
      </w:pPr>
      <w:r w:rsidRPr="002B40E5">
        <w:rPr>
          <w:color w:val="FF0000"/>
        </w:rPr>
        <w:t>COMUNIDAD VALENCIANA</w:t>
      </w:r>
    </w:p>
    <w:p w:rsidR="002B40E5" w:rsidRDefault="002B40E5">
      <w:r>
        <w:t>Normativa</w:t>
      </w:r>
    </w:p>
    <w:p w:rsidR="002B40E5" w:rsidRDefault="002B40E5" w:rsidP="002B40E5">
      <w:pPr>
        <w:pStyle w:val="Ttulo3"/>
        <w:spacing w:before="0"/>
        <w:rPr>
          <w:rFonts w:ascii="Arial" w:hAnsi="Arial" w:cs="Arial"/>
          <w:color w:val="4A4A4A"/>
          <w:sz w:val="24"/>
          <w:szCs w:val="24"/>
        </w:rPr>
      </w:pPr>
      <w:r>
        <w:rPr>
          <w:rFonts w:ascii="Arial" w:hAnsi="Arial" w:cs="Arial"/>
          <w:color w:val="4A4A4A"/>
          <w:sz w:val="24"/>
          <w:szCs w:val="24"/>
        </w:rPr>
        <w:t xml:space="preserve">DECRETO 86/2009, de 19 de junio, del </w:t>
      </w:r>
      <w:proofErr w:type="spellStart"/>
      <w:r>
        <w:rPr>
          <w:rFonts w:ascii="Arial" w:hAnsi="Arial" w:cs="Arial"/>
          <w:color w:val="4A4A4A"/>
          <w:sz w:val="24"/>
          <w:szCs w:val="24"/>
        </w:rPr>
        <w:t>Consell</w:t>
      </w:r>
      <w:proofErr w:type="spellEnd"/>
      <w:r>
        <w:rPr>
          <w:rFonts w:ascii="Arial" w:hAnsi="Arial" w:cs="Arial"/>
          <w:color w:val="4A4A4A"/>
          <w:sz w:val="24"/>
          <w:szCs w:val="24"/>
        </w:rPr>
        <w:t>, por el que se regula el derecho a la segunda opinión médica en el ámbito del Sistema Sanitario Público Valenciano. [2009/7337]</w:t>
      </w:r>
    </w:p>
    <w:p w:rsidR="002B40E5" w:rsidRDefault="002B40E5" w:rsidP="002B40E5">
      <w:pPr>
        <w:rPr>
          <w:rFonts w:ascii="Times New Roman" w:hAnsi="Times New Roman" w:cs="Times New Roman"/>
          <w:sz w:val="24"/>
          <w:szCs w:val="24"/>
        </w:rPr>
      </w:pPr>
      <w:r>
        <w:rPr>
          <w:rStyle w:val="apple-converted-space"/>
          <w:rFonts w:cs="Arial"/>
          <w:color w:val="7E7E7E"/>
          <w:sz w:val="18"/>
          <w:szCs w:val="18"/>
        </w:rPr>
        <w:t> </w:t>
      </w:r>
      <w:r>
        <w:rPr>
          <w:rStyle w:val="fechadoc"/>
          <w:rFonts w:cs="Arial"/>
          <w:b/>
          <w:bCs/>
          <w:color w:val="00407A"/>
        </w:rPr>
        <w:t>(DOCV núm. 6041 de 23.06.2009)</w:t>
      </w:r>
      <w:r>
        <w:rPr>
          <w:rStyle w:val="apple-converted-space"/>
          <w:rFonts w:cs="Arial"/>
          <w:b/>
          <w:bCs/>
          <w:color w:val="00407A"/>
        </w:rPr>
        <w:t> </w:t>
      </w:r>
      <w:r>
        <w:rPr>
          <w:rStyle w:val="refbd"/>
          <w:rFonts w:cs="Arial"/>
          <w:b/>
          <w:bCs/>
          <w:color w:val="9E9E9E"/>
        </w:rPr>
        <w:t>Ref. Base Datos 007370/2009</w:t>
      </w:r>
    </w:p>
    <w:p w:rsidR="002B40E5" w:rsidRDefault="004C0232">
      <w:r>
        <w:t xml:space="preserve">Fuente: </w:t>
      </w:r>
      <w:hyperlink r:id="rId12" w:history="1">
        <w:r w:rsidRPr="008844A0">
          <w:rPr>
            <w:rStyle w:val="Hipervnculo"/>
          </w:rPr>
          <w:t>http://www.docv.gva.es/portal/ficha_disposicion_pc.jsp?sig=007370/2009&amp;L=1</w:t>
        </w:r>
      </w:hyperlink>
    </w:p>
    <w:p w:rsidR="002B40E5" w:rsidRDefault="002B40E5">
      <w:pPr>
        <w:rPr>
          <w:color w:val="FF0000"/>
        </w:rPr>
      </w:pPr>
      <w:r w:rsidRPr="002B40E5">
        <w:rPr>
          <w:color w:val="FF0000"/>
        </w:rPr>
        <w:t xml:space="preserve">EXTREMADURA </w:t>
      </w:r>
    </w:p>
    <w:p w:rsidR="004C0232" w:rsidRDefault="004C0232">
      <w:r>
        <w:t>Normativa</w:t>
      </w:r>
    </w:p>
    <w:p w:rsidR="004C0232" w:rsidRDefault="004C0232">
      <w:r>
        <w:t>DECRETO 16/2004, de 26 de febrero, por el que se regula el derecho a la segunda opinión médica en el ámbito del Sistema Sanitario Público de Extremadura</w:t>
      </w:r>
    </w:p>
    <w:p w:rsidR="004C0232" w:rsidRDefault="004C0232"/>
    <w:p w:rsidR="004C0232" w:rsidRDefault="004C0232">
      <w:r>
        <w:t>Fuente</w:t>
      </w:r>
    </w:p>
    <w:p w:rsidR="004C0232" w:rsidRDefault="006C7FA3">
      <w:hyperlink r:id="rId13" w:history="1">
        <w:r w:rsidR="004C0232" w:rsidRPr="008844A0">
          <w:rPr>
            <w:rStyle w:val="Hipervnculo"/>
          </w:rPr>
          <w:t>http://defensorusuarios.saludextremadura.com/docs/segunda_opinion.pdf</w:t>
        </w:r>
      </w:hyperlink>
    </w:p>
    <w:p w:rsidR="004C0232" w:rsidRPr="004C0232" w:rsidRDefault="004C0232"/>
    <w:p w:rsidR="002B40E5" w:rsidRDefault="002B40E5">
      <w:pPr>
        <w:rPr>
          <w:color w:val="FF0000"/>
        </w:rPr>
      </w:pPr>
      <w:r w:rsidRPr="002B40E5">
        <w:rPr>
          <w:color w:val="FF0000"/>
        </w:rPr>
        <w:t>MADRID</w:t>
      </w:r>
    </w:p>
    <w:p w:rsidR="004C0232" w:rsidRPr="002B40E5" w:rsidRDefault="004C0232">
      <w:pPr>
        <w:rPr>
          <w:color w:val="FF0000"/>
        </w:rPr>
      </w:pPr>
    </w:p>
    <w:p w:rsidR="002B40E5" w:rsidRPr="002B40E5" w:rsidRDefault="002B40E5">
      <w:pPr>
        <w:rPr>
          <w:color w:val="FF0000"/>
        </w:rPr>
      </w:pPr>
      <w:r w:rsidRPr="002B40E5">
        <w:rPr>
          <w:color w:val="FF0000"/>
        </w:rPr>
        <w:t xml:space="preserve">MURCIA </w:t>
      </w:r>
    </w:p>
    <w:p w:rsidR="004C0232" w:rsidRDefault="006D3772">
      <w:pPr>
        <w:rPr>
          <w:rFonts w:ascii="Georgia" w:hAnsi="Georgia"/>
          <w:b/>
          <w:bCs/>
          <w:color w:val="3C587E"/>
          <w:shd w:val="clear" w:color="auto" w:fill="FFFFFF"/>
        </w:rPr>
      </w:pPr>
      <w:r>
        <w:br/>
      </w:r>
      <w:r>
        <w:rPr>
          <w:rFonts w:ascii="Georgia" w:hAnsi="Georgia"/>
          <w:b/>
          <w:bCs/>
          <w:color w:val="3C587E"/>
          <w:shd w:val="clear" w:color="auto" w:fill="FFFFFF"/>
        </w:rPr>
        <w:t>Ley 3/2009, de 11 de mayo, de los Derechos y Deberes de los Usuarios del Sistema Sanitario de la Región de Murcia (Vigente hasta el 01 de Enero de 2013).</w:t>
      </w:r>
    </w:p>
    <w:p w:rsidR="006D3772" w:rsidRDefault="006D3772" w:rsidP="006D3772">
      <w:pPr>
        <w:pStyle w:val="a"/>
        <w:shd w:val="clear" w:color="auto" w:fill="FFFFFF"/>
        <w:spacing w:before="0" w:beforeAutospacing="0" w:after="158" w:afterAutospacing="0" w:line="208" w:lineRule="atLeast"/>
        <w:rPr>
          <w:rFonts w:ascii="Lucida Sans Unicode" w:hAnsi="Lucida Sans Unicode" w:cs="Lucida Sans Unicode"/>
          <w:b/>
          <w:bCs/>
          <w:color w:val="4C6F99"/>
          <w:sz w:val="20"/>
          <w:szCs w:val="20"/>
        </w:rPr>
      </w:pPr>
      <w:r>
        <w:rPr>
          <w:rStyle w:val="nfasis"/>
          <w:rFonts w:ascii="Lucida Sans Unicode" w:hAnsi="Lucida Sans Unicode" w:cs="Lucida Sans Unicode"/>
          <w:b/>
          <w:bCs/>
          <w:i w:val="0"/>
          <w:iCs w:val="0"/>
          <w:color w:val="4C6F99"/>
          <w:sz w:val="20"/>
          <w:szCs w:val="20"/>
        </w:rPr>
        <w:t>Artículo 14</w:t>
      </w:r>
      <w:r>
        <w:rPr>
          <w:rStyle w:val="apple-converted-space"/>
          <w:rFonts w:ascii="Lucida Sans Unicode" w:hAnsi="Lucida Sans Unicode" w:cs="Lucida Sans Unicode"/>
          <w:b/>
          <w:bCs/>
          <w:color w:val="4C6F99"/>
          <w:sz w:val="20"/>
          <w:szCs w:val="20"/>
        </w:rPr>
        <w:t> </w:t>
      </w:r>
      <w:r>
        <w:rPr>
          <w:rFonts w:ascii="Lucida Sans Unicode" w:hAnsi="Lucida Sans Unicode" w:cs="Lucida Sans Unicode"/>
          <w:b/>
          <w:bCs/>
          <w:color w:val="4C6F99"/>
          <w:sz w:val="20"/>
          <w:szCs w:val="20"/>
        </w:rPr>
        <w:t>Derecho a la segunda opinión médica</w:t>
      </w:r>
    </w:p>
    <w:p w:rsidR="006D3772" w:rsidRDefault="006D3772" w:rsidP="006D3772">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Los usuarios tienen derecho a disponer, dentro del ámbito del sistema sanitario público, de una segunda opinión facultativa sobre su proceso cuando concurran especiales circunstancias de riesgo o gravedad, bien en el ámbito de las técnicas diagnósticas bien en el procedimiento o tratamiento terapéutico, en los términos que reglamentariamente se determine.</w:t>
      </w:r>
    </w:p>
    <w:p w:rsidR="006D3772" w:rsidRDefault="006D3772">
      <w:pPr>
        <w:rPr>
          <w:color w:val="FF0000"/>
        </w:rPr>
      </w:pPr>
    </w:p>
    <w:p w:rsidR="002B40E5" w:rsidRPr="002B40E5" w:rsidRDefault="002B40E5">
      <w:pPr>
        <w:rPr>
          <w:color w:val="FF0000"/>
        </w:rPr>
      </w:pPr>
      <w:r w:rsidRPr="002B40E5">
        <w:rPr>
          <w:color w:val="FF0000"/>
        </w:rPr>
        <w:t>PAIS VASCO</w:t>
      </w:r>
    </w:p>
    <w:p w:rsidR="006D3772" w:rsidRDefault="006D3772" w:rsidP="006D3772">
      <w:pPr>
        <w:pStyle w:val="Ttulo3"/>
        <w:shd w:val="clear" w:color="auto" w:fill="FFFFFF"/>
        <w:spacing w:before="225" w:after="225"/>
        <w:rPr>
          <w:rFonts w:ascii="Georgia" w:hAnsi="Georgia"/>
          <w:color w:val="3C587E"/>
          <w:sz w:val="24"/>
          <w:szCs w:val="24"/>
        </w:rPr>
      </w:pPr>
      <w:r>
        <w:rPr>
          <w:rFonts w:ascii="Georgia" w:hAnsi="Georgia"/>
          <w:color w:val="3C587E"/>
          <w:sz w:val="24"/>
          <w:szCs w:val="24"/>
        </w:rPr>
        <w:t>Decreto 149/2007, de 18 de septiembre, por el que se regula el ejercicio del derecho a la segunda opinión médica en el Sistema Sanitario de Euskadi.</w:t>
      </w:r>
    </w:p>
    <w:p w:rsidR="004C0232" w:rsidRDefault="004C0232">
      <w:pPr>
        <w:rPr>
          <w:color w:val="FF0000"/>
        </w:rPr>
      </w:pPr>
    </w:p>
    <w:p w:rsidR="002B40E5" w:rsidRPr="002B40E5" w:rsidRDefault="002B40E5">
      <w:pPr>
        <w:rPr>
          <w:color w:val="FF0000"/>
        </w:rPr>
      </w:pPr>
      <w:r w:rsidRPr="002B40E5">
        <w:rPr>
          <w:color w:val="FF0000"/>
        </w:rPr>
        <w:t>ASTURIAS</w:t>
      </w:r>
    </w:p>
    <w:p w:rsidR="004C0232" w:rsidRDefault="004C0232">
      <w:pPr>
        <w:rPr>
          <w:color w:val="FF0000"/>
        </w:rPr>
      </w:pPr>
    </w:p>
    <w:p w:rsidR="002B40E5" w:rsidRPr="002B40E5" w:rsidRDefault="002B40E5">
      <w:pPr>
        <w:rPr>
          <w:color w:val="FF0000"/>
        </w:rPr>
      </w:pPr>
      <w:r w:rsidRPr="002B40E5">
        <w:rPr>
          <w:color w:val="FF0000"/>
        </w:rPr>
        <w:t xml:space="preserve">CANTABRIA </w:t>
      </w:r>
    </w:p>
    <w:p w:rsidR="00B07657" w:rsidRDefault="00B07657">
      <w:pPr>
        <w:rPr>
          <w:color w:val="FF0000"/>
        </w:rPr>
      </w:pPr>
      <w:r>
        <w:br/>
      </w:r>
      <w:r>
        <w:rPr>
          <w:rFonts w:ascii="Georgia" w:hAnsi="Georgia"/>
          <w:b/>
          <w:bCs/>
          <w:color w:val="3C587E"/>
          <w:shd w:val="clear" w:color="auto" w:fill="FFFFFF"/>
        </w:rPr>
        <w:t>Decreto 2/2015, de 15 de enero, por el que se regula el ejercicio del derecho a la segunda opinión médica en el ámbito del sistema sanitario público de Cantabria.</w:t>
      </w:r>
    </w:p>
    <w:p w:rsidR="002B40E5" w:rsidRPr="002B40E5" w:rsidRDefault="002B40E5">
      <w:pPr>
        <w:rPr>
          <w:color w:val="FF0000"/>
        </w:rPr>
      </w:pPr>
      <w:r w:rsidRPr="002B40E5">
        <w:rPr>
          <w:color w:val="FF0000"/>
        </w:rPr>
        <w:t>GALICIA</w:t>
      </w:r>
    </w:p>
    <w:p w:rsidR="00B07657" w:rsidRDefault="00B07657" w:rsidP="00B07657">
      <w:pPr>
        <w:pStyle w:val="Ttulo3"/>
        <w:shd w:val="clear" w:color="auto" w:fill="FFFFFF"/>
        <w:spacing w:before="225" w:after="225"/>
        <w:rPr>
          <w:rFonts w:ascii="Georgia" w:hAnsi="Georgia"/>
          <w:color w:val="3C587E"/>
          <w:sz w:val="24"/>
          <w:szCs w:val="24"/>
        </w:rPr>
      </w:pPr>
      <w:r>
        <w:rPr>
          <w:rFonts w:ascii="Georgia" w:hAnsi="Georgia"/>
          <w:color w:val="3C587E"/>
          <w:sz w:val="24"/>
          <w:szCs w:val="24"/>
        </w:rPr>
        <w:t>DECRETO 54/2015, de 12 de marzo, por el que se regulan el procedimiento y los efectos de la garantía del derecho a la segunda opinión médica en el Sistema público de salud de Galicia</w:t>
      </w:r>
    </w:p>
    <w:p w:rsidR="004C0232" w:rsidRDefault="004C0232">
      <w:pPr>
        <w:rPr>
          <w:color w:val="FF0000"/>
        </w:rPr>
      </w:pPr>
    </w:p>
    <w:p w:rsidR="002B40E5" w:rsidRPr="002B40E5" w:rsidRDefault="002B40E5">
      <w:pPr>
        <w:rPr>
          <w:color w:val="FF0000"/>
        </w:rPr>
      </w:pPr>
      <w:r w:rsidRPr="002B40E5">
        <w:rPr>
          <w:color w:val="FF0000"/>
        </w:rPr>
        <w:t>NAVARRA</w:t>
      </w:r>
    </w:p>
    <w:p w:rsidR="006D3772" w:rsidRDefault="006D3772" w:rsidP="006D3772">
      <w:pPr>
        <w:pStyle w:val="a"/>
        <w:shd w:val="clear" w:color="auto" w:fill="FFFFFF"/>
        <w:spacing w:before="0" w:beforeAutospacing="0" w:after="158" w:afterAutospacing="0" w:line="208" w:lineRule="atLeast"/>
        <w:rPr>
          <w:rStyle w:val="nfasis"/>
          <w:rFonts w:ascii="Lucida Sans Unicode" w:hAnsi="Lucida Sans Unicode" w:cs="Lucida Sans Unicode"/>
          <w:b/>
          <w:bCs/>
          <w:i w:val="0"/>
          <w:iCs w:val="0"/>
          <w:color w:val="4C6F99"/>
          <w:sz w:val="20"/>
          <w:szCs w:val="20"/>
        </w:rPr>
      </w:pPr>
      <w:r>
        <w:lastRenderedPageBreak/>
        <w:br/>
      </w:r>
      <w:r>
        <w:rPr>
          <w:rFonts w:ascii="Georgia" w:hAnsi="Georgia"/>
          <w:b/>
          <w:bCs/>
          <w:color w:val="3C587E"/>
          <w:shd w:val="clear" w:color="auto" w:fill="FFFFFF"/>
        </w:rPr>
        <w:t>Ley Foral 17/2010, de 8 de noviembre, de derechos y deberes de las personas en materia de salud en la Comunidad Foral de Navarra.</w:t>
      </w:r>
    </w:p>
    <w:p w:rsidR="006D3772" w:rsidRDefault="006D3772" w:rsidP="006D3772">
      <w:pPr>
        <w:pStyle w:val="a"/>
        <w:shd w:val="clear" w:color="auto" w:fill="FFFFFF"/>
        <w:spacing w:before="0" w:beforeAutospacing="0" w:after="158" w:afterAutospacing="0" w:line="208" w:lineRule="atLeast"/>
        <w:rPr>
          <w:rFonts w:ascii="Lucida Sans Unicode" w:hAnsi="Lucida Sans Unicode" w:cs="Lucida Sans Unicode"/>
          <w:b/>
          <w:bCs/>
          <w:color w:val="4C6F99"/>
          <w:sz w:val="20"/>
          <w:szCs w:val="20"/>
        </w:rPr>
      </w:pPr>
      <w:r>
        <w:rPr>
          <w:rStyle w:val="nfasis"/>
          <w:rFonts w:ascii="Lucida Sans Unicode" w:hAnsi="Lucida Sans Unicode" w:cs="Lucida Sans Unicode"/>
          <w:b/>
          <w:bCs/>
          <w:i w:val="0"/>
          <w:iCs w:val="0"/>
          <w:color w:val="4C6F99"/>
          <w:sz w:val="20"/>
          <w:szCs w:val="20"/>
        </w:rPr>
        <w:t>Artículo 14</w:t>
      </w:r>
      <w:r>
        <w:rPr>
          <w:rStyle w:val="apple-converted-space"/>
          <w:rFonts w:ascii="Lucida Sans Unicode" w:hAnsi="Lucida Sans Unicode" w:cs="Lucida Sans Unicode"/>
          <w:b/>
          <w:bCs/>
          <w:color w:val="4C6F99"/>
          <w:sz w:val="20"/>
          <w:szCs w:val="20"/>
        </w:rPr>
        <w:t> </w:t>
      </w:r>
      <w:r>
        <w:rPr>
          <w:rFonts w:ascii="Lucida Sans Unicode" w:hAnsi="Lucida Sans Unicode" w:cs="Lucida Sans Unicode"/>
          <w:b/>
          <w:bCs/>
          <w:color w:val="4C6F99"/>
          <w:sz w:val="20"/>
          <w:szCs w:val="20"/>
        </w:rPr>
        <w:t>Derecho a la segunda opinión médica</w:t>
      </w:r>
    </w:p>
    <w:p w:rsidR="006D3772" w:rsidRDefault="006D3772" w:rsidP="006D3772">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b/>
          <w:bCs/>
          <w:color w:val="222222"/>
          <w:sz w:val="20"/>
          <w:szCs w:val="20"/>
        </w:rPr>
        <w:t>1.</w:t>
      </w:r>
      <w:r>
        <w:rPr>
          <w:rStyle w:val="apple-converted-space"/>
          <w:rFonts w:ascii="Lucida Sans Unicode" w:hAnsi="Lucida Sans Unicode" w:cs="Lucida Sans Unicode"/>
          <w:color w:val="222222"/>
          <w:sz w:val="20"/>
          <w:szCs w:val="20"/>
        </w:rPr>
        <w:t> </w:t>
      </w:r>
      <w:r>
        <w:rPr>
          <w:rFonts w:ascii="Lucida Sans Unicode" w:hAnsi="Lucida Sans Unicode" w:cs="Lucida Sans Unicode"/>
          <w:color w:val="222222"/>
          <w:sz w:val="20"/>
          <w:szCs w:val="20"/>
        </w:rPr>
        <w:t>Las Administraciones sanitarias de la Comunidad Foral garantizarán a los pacientes de los centros y servicios sanitarios propios y concertados el derecho a la segunda opinión, reglamentando los procedimientos de obtención de información suplementaria o alternativa ante recomendaciones terapéuticas o inclinaciones diagnósticas de elevada trascendencia individual.</w:t>
      </w:r>
    </w:p>
    <w:p w:rsidR="006D3772" w:rsidRDefault="006D3772" w:rsidP="006D3772">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b/>
          <w:bCs/>
          <w:color w:val="222222"/>
          <w:sz w:val="20"/>
          <w:szCs w:val="20"/>
        </w:rPr>
        <w:t>2.</w:t>
      </w:r>
      <w:r>
        <w:rPr>
          <w:rStyle w:val="apple-converted-space"/>
          <w:rFonts w:ascii="Lucida Sans Unicode" w:hAnsi="Lucida Sans Unicode" w:cs="Lucida Sans Unicode"/>
          <w:color w:val="222222"/>
          <w:sz w:val="20"/>
          <w:szCs w:val="20"/>
        </w:rPr>
        <w:t> </w:t>
      </w:r>
      <w:r>
        <w:rPr>
          <w:rFonts w:ascii="Lucida Sans Unicode" w:hAnsi="Lucida Sans Unicode" w:cs="Lucida Sans Unicode"/>
          <w:color w:val="222222"/>
          <w:sz w:val="20"/>
          <w:szCs w:val="20"/>
        </w:rPr>
        <w:t>En un mismo episodio clínico, el médico de atención primaria, a petición del paciente o por propia iniciativa, puede indicar una nueva consulta con otro médico especialista de entre los asignados al centro, en caso de que existan causas que lo justifiquen.</w:t>
      </w:r>
    </w:p>
    <w:p w:rsidR="006D3772" w:rsidRDefault="006D3772" w:rsidP="006D3772">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Cuando el médico de atención primaria considere oportuna la segunda consulta, puede elegir entre los especialistas del Servicio Navarro de Salud-</w:t>
      </w:r>
      <w:proofErr w:type="spellStart"/>
      <w:r>
        <w:rPr>
          <w:rFonts w:ascii="Lucida Sans Unicode" w:hAnsi="Lucida Sans Unicode" w:cs="Lucida Sans Unicode"/>
          <w:color w:val="222222"/>
          <w:sz w:val="20"/>
          <w:szCs w:val="20"/>
        </w:rPr>
        <w:t>Osasunbidea</w:t>
      </w:r>
      <w:proofErr w:type="spellEnd"/>
      <w:r>
        <w:rPr>
          <w:rFonts w:ascii="Lucida Sans Unicode" w:hAnsi="Lucida Sans Unicode" w:cs="Lucida Sans Unicode"/>
          <w:color w:val="222222"/>
          <w:sz w:val="20"/>
          <w:szCs w:val="20"/>
        </w:rPr>
        <w:t>.</w:t>
      </w:r>
    </w:p>
    <w:p w:rsidR="004C0232" w:rsidRDefault="004C0232">
      <w:pPr>
        <w:rPr>
          <w:color w:val="FF0000"/>
        </w:rPr>
      </w:pPr>
    </w:p>
    <w:p w:rsidR="002B40E5" w:rsidRPr="002B40E5" w:rsidRDefault="002B40E5">
      <w:pPr>
        <w:rPr>
          <w:color w:val="FF0000"/>
        </w:rPr>
      </w:pPr>
      <w:r w:rsidRPr="002B40E5">
        <w:rPr>
          <w:color w:val="FF0000"/>
        </w:rPr>
        <w:t>LA RIOJA</w:t>
      </w:r>
    </w:p>
    <w:p w:rsidR="006D3772" w:rsidRDefault="006D3772" w:rsidP="006D3772">
      <w:pPr>
        <w:pStyle w:val="Ttulo1"/>
        <w:shd w:val="clear" w:color="auto" w:fill="FFFFFF"/>
        <w:spacing w:before="0"/>
        <w:jc w:val="center"/>
        <w:rPr>
          <w:rFonts w:ascii="Arial" w:hAnsi="Arial" w:cs="Arial"/>
          <w:color w:val="000080"/>
          <w:sz w:val="24"/>
          <w:szCs w:val="24"/>
        </w:rPr>
      </w:pPr>
      <w:r>
        <w:rPr>
          <w:rFonts w:ascii="Arial" w:hAnsi="Arial" w:cs="Arial"/>
          <w:color w:val="000080"/>
          <w:sz w:val="24"/>
          <w:szCs w:val="24"/>
        </w:rPr>
        <w:t>DECRETO 55/2008, DE 10 DE OCTUBRE, DE SEGUNDA OPINIÓN MÉDICA</w:t>
      </w:r>
    </w:p>
    <w:p w:rsidR="004C0232" w:rsidRDefault="004C0232">
      <w:pPr>
        <w:rPr>
          <w:color w:val="FF0000"/>
        </w:rPr>
      </w:pPr>
    </w:p>
    <w:p w:rsidR="002B40E5" w:rsidRPr="002B40E5" w:rsidRDefault="002B40E5">
      <w:pPr>
        <w:rPr>
          <w:color w:val="FF0000"/>
        </w:rPr>
      </w:pPr>
      <w:r w:rsidRPr="002B40E5">
        <w:rPr>
          <w:color w:val="FF0000"/>
        </w:rPr>
        <w:t>CASTILLA Y LEÓN</w:t>
      </w:r>
    </w:p>
    <w:p w:rsidR="006D3772" w:rsidRDefault="006D3772" w:rsidP="006D3772">
      <w:pPr>
        <w:pStyle w:val="Ttulo3"/>
        <w:shd w:val="clear" w:color="auto" w:fill="FFFFFF"/>
        <w:spacing w:before="225" w:after="225"/>
        <w:rPr>
          <w:rFonts w:ascii="Georgia" w:hAnsi="Georgia"/>
          <w:color w:val="3C587E"/>
          <w:sz w:val="24"/>
          <w:szCs w:val="24"/>
        </w:rPr>
      </w:pPr>
      <w:r>
        <w:rPr>
          <w:rFonts w:ascii="Georgia" w:hAnsi="Georgia"/>
          <w:color w:val="3C587E"/>
          <w:sz w:val="24"/>
          <w:szCs w:val="24"/>
        </w:rPr>
        <w:t>Decreto 121/2007, de 20 de diciembre, por el que se regula el ejercicio del derecho a la segunda opinión médica en el Sistema de Salud de Castilla y León.</w:t>
      </w:r>
    </w:p>
    <w:p w:rsidR="004C0232" w:rsidRDefault="004C0232">
      <w:pPr>
        <w:rPr>
          <w:color w:val="FF0000"/>
        </w:rPr>
      </w:pPr>
    </w:p>
    <w:p w:rsidR="002B40E5" w:rsidRPr="002B40E5" w:rsidRDefault="002B40E5">
      <w:pPr>
        <w:rPr>
          <w:color w:val="FF0000"/>
        </w:rPr>
      </w:pPr>
      <w:r w:rsidRPr="002B40E5">
        <w:rPr>
          <w:color w:val="FF0000"/>
        </w:rPr>
        <w:t>CASTILLA LA MANCHA</w:t>
      </w:r>
    </w:p>
    <w:p w:rsidR="00B07657" w:rsidRDefault="00B07657" w:rsidP="00B07657">
      <w:pPr>
        <w:pStyle w:val="Ttulo3"/>
        <w:shd w:val="clear" w:color="auto" w:fill="FFFFFF"/>
        <w:spacing w:before="225" w:after="225"/>
        <w:rPr>
          <w:rFonts w:ascii="Georgia" w:hAnsi="Georgia"/>
          <w:color w:val="3C587E"/>
          <w:sz w:val="24"/>
          <w:szCs w:val="24"/>
        </w:rPr>
      </w:pPr>
      <w:r>
        <w:rPr>
          <w:rFonts w:ascii="Georgia" w:hAnsi="Georgia"/>
          <w:color w:val="3C587E"/>
          <w:sz w:val="24"/>
          <w:szCs w:val="24"/>
        </w:rPr>
        <w:t>Ley 5/2010, de 24/06/2010, sobre derechos y deberes en materia de salud de Castilla-La Mancha.</w:t>
      </w:r>
    </w:p>
    <w:p w:rsidR="00B07657" w:rsidRDefault="00B07657" w:rsidP="00B07657">
      <w:pPr>
        <w:pStyle w:val="a"/>
        <w:shd w:val="clear" w:color="auto" w:fill="FFFFFF"/>
        <w:spacing w:before="0" w:beforeAutospacing="0" w:after="158" w:afterAutospacing="0" w:line="208" w:lineRule="atLeast"/>
        <w:rPr>
          <w:rFonts w:ascii="Lucida Sans Unicode" w:hAnsi="Lucida Sans Unicode" w:cs="Lucida Sans Unicode"/>
          <w:b/>
          <w:bCs/>
          <w:color w:val="4C6F99"/>
          <w:sz w:val="20"/>
          <w:szCs w:val="20"/>
        </w:rPr>
      </w:pPr>
      <w:r>
        <w:rPr>
          <w:rStyle w:val="nfasis"/>
          <w:rFonts w:ascii="Lucida Sans Unicode" w:hAnsi="Lucida Sans Unicode" w:cs="Lucida Sans Unicode"/>
          <w:b/>
          <w:bCs/>
          <w:i w:val="0"/>
          <w:iCs w:val="0"/>
          <w:color w:val="4C6F99"/>
          <w:sz w:val="20"/>
          <w:szCs w:val="20"/>
        </w:rPr>
        <w:t>Artículo 40</w:t>
      </w:r>
      <w:r>
        <w:rPr>
          <w:rStyle w:val="apple-converted-space"/>
          <w:rFonts w:ascii="Lucida Sans Unicode" w:hAnsi="Lucida Sans Unicode" w:cs="Lucida Sans Unicode"/>
          <w:b/>
          <w:bCs/>
          <w:color w:val="4C6F99"/>
          <w:sz w:val="20"/>
          <w:szCs w:val="20"/>
        </w:rPr>
        <w:t> </w:t>
      </w:r>
      <w:r>
        <w:rPr>
          <w:rFonts w:ascii="Lucida Sans Unicode" w:hAnsi="Lucida Sans Unicode" w:cs="Lucida Sans Unicode"/>
          <w:b/>
          <w:bCs/>
          <w:color w:val="4C6F99"/>
          <w:sz w:val="20"/>
          <w:szCs w:val="20"/>
        </w:rPr>
        <w:t>Derecho a la segunda opinión médica</w:t>
      </w:r>
    </w:p>
    <w:p w:rsidR="00B07657" w:rsidRDefault="00B07657" w:rsidP="00B07657">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b/>
          <w:bCs/>
          <w:color w:val="222222"/>
          <w:sz w:val="20"/>
          <w:szCs w:val="20"/>
        </w:rPr>
        <w:t>1.</w:t>
      </w:r>
      <w:r>
        <w:rPr>
          <w:rStyle w:val="apple-converted-space"/>
          <w:rFonts w:ascii="Lucida Sans Unicode" w:hAnsi="Lucida Sans Unicode" w:cs="Lucida Sans Unicode"/>
          <w:color w:val="222222"/>
          <w:sz w:val="20"/>
          <w:szCs w:val="20"/>
        </w:rPr>
        <w:t> </w:t>
      </w:r>
      <w:r>
        <w:rPr>
          <w:rFonts w:ascii="Lucida Sans Unicode" w:hAnsi="Lucida Sans Unicode" w:cs="Lucida Sans Unicode"/>
          <w:color w:val="222222"/>
          <w:sz w:val="20"/>
          <w:szCs w:val="20"/>
        </w:rPr>
        <w:t>En el ámbito del Sistema Sanitario de Castilla-La Mancha, toda persona tiene derecho a disponer de una segunda opinión médica sobre su proceso en los términos previstos en la legislación vigente.</w:t>
      </w:r>
    </w:p>
    <w:p w:rsidR="00B07657" w:rsidRDefault="00B07657" w:rsidP="00B07657">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b/>
          <w:bCs/>
          <w:color w:val="222222"/>
          <w:sz w:val="20"/>
          <w:szCs w:val="20"/>
        </w:rPr>
        <w:t>2.</w:t>
      </w:r>
      <w:r>
        <w:rPr>
          <w:rStyle w:val="apple-converted-space"/>
          <w:rFonts w:ascii="Lucida Sans Unicode" w:hAnsi="Lucida Sans Unicode" w:cs="Lucida Sans Unicode"/>
          <w:color w:val="222222"/>
          <w:sz w:val="20"/>
          <w:szCs w:val="20"/>
        </w:rPr>
        <w:t> </w:t>
      </w:r>
      <w:r>
        <w:rPr>
          <w:rFonts w:ascii="Lucida Sans Unicode" w:hAnsi="Lucida Sans Unicode" w:cs="Lucida Sans Unicode"/>
          <w:color w:val="222222"/>
          <w:sz w:val="20"/>
          <w:szCs w:val="20"/>
        </w:rPr>
        <w:t>Se entiende por segunda opinión médica el informe facultativo emitido en los supuestos previstos reglamentariamente como consecuencia de la solicitud realizada por los usuarios del Sistema Sanitario de Castilla-La Mancha, con el fin de contrastar un primer diagnóstico completo o propuesta terapéutica para facilitar al paciente una mayor información sobre la inicialmente recibida.</w:t>
      </w:r>
    </w:p>
    <w:p w:rsidR="00B07657" w:rsidRDefault="00B07657" w:rsidP="00B07657">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b/>
          <w:bCs/>
          <w:color w:val="222222"/>
          <w:sz w:val="20"/>
          <w:szCs w:val="20"/>
        </w:rPr>
        <w:t>3.</w:t>
      </w:r>
      <w:r>
        <w:rPr>
          <w:rStyle w:val="apple-converted-space"/>
          <w:rFonts w:ascii="Lucida Sans Unicode" w:hAnsi="Lucida Sans Unicode" w:cs="Lucida Sans Unicode"/>
          <w:color w:val="222222"/>
          <w:sz w:val="20"/>
          <w:szCs w:val="20"/>
        </w:rPr>
        <w:t> </w:t>
      </w:r>
      <w:r>
        <w:rPr>
          <w:rFonts w:ascii="Lucida Sans Unicode" w:hAnsi="Lucida Sans Unicode" w:cs="Lucida Sans Unicode"/>
          <w:color w:val="222222"/>
          <w:sz w:val="20"/>
          <w:szCs w:val="20"/>
        </w:rPr>
        <w:t>A tal efecto se dimensionarán adecuadamente los recursos humanos y materiales.</w:t>
      </w:r>
    </w:p>
    <w:p w:rsidR="004C0232" w:rsidRDefault="004C0232">
      <w:pPr>
        <w:rPr>
          <w:color w:val="FF0000"/>
        </w:rPr>
      </w:pPr>
    </w:p>
    <w:p w:rsidR="002B40E5" w:rsidRPr="002B40E5" w:rsidRDefault="002B40E5">
      <w:pPr>
        <w:rPr>
          <w:color w:val="FF0000"/>
        </w:rPr>
      </w:pPr>
      <w:r w:rsidRPr="002B40E5">
        <w:rPr>
          <w:color w:val="FF0000"/>
        </w:rPr>
        <w:t>CANARIAS</w:t>
      </w:r>
    </w:p>
    <w:p w:rsidR="006D3772" w:rsidRDefault="006D3772" w:rsidP="006D3772">
      <w:pPr>
        <w:pStyle w:val="Ttulo3"/>
        <w:shd w:val="clear" w:color="auto" w:fill="FFFFFF"/>
        <w:spacing w:before="225" w:after="225"/>
        <w:rPr>
          <w:rFonts w:ascii="Georgia" w:hAnsi="Georgia"/>
          <w:color w:val="3C587E"/>
          <w:sz w:val="24"/>
          <w:szCs w:val="24"/>
        </w:rPr>
      </w:pPr>
      <w:r>
        <w:rPr>
          <w:rFonts w:ascii="Georgia" w:hAnsi="Georgia"/>
          <w:color w:val="3C587E"/>
          <w:sz w:val="24"/>
          <w:szCs w:val="24"/>
        </w:rPr>
        <w:t>Ley 11/1994, de 26 de julio, de Ordenación Sanitaria de Canarias.</w:t>
      </w:r>
    </w:p>
    <w:p w:rsidR="006D3772" w:rsidRDefault="006D3772" w:rsidP="006D3772">
      <w:pPr>
        <w:pStyle w:val="a"/>
        <w:shd w:val="clear" w:color="auto" w:fill="FFFFFF"/>
        <w:spacing w:before="0" w:beforeAutospacing="0" w:after="158" w:afterAutospacing="0" w:line="208" w:lineRule="atLeast"/>
        <w:rPr>
          <w:rFonts w:ascii="Lucida Sans Unicode" w:hAnsi="Lucida Sans Unicode" w:cs="Lucida Sans Unicode"/>
          <w:b/>
          <w:bCs/>
          <w:color w:val="4C6F99"/>
          <w:sz w:val="20"/>
          <w:szCs w:val="20"/>
        </w:rPr>
      </w:pPr>
      <w:r>
        <w:rPr>
          <w:rStyle w:val="nfasis"/>
          <w:rFonts w:ascii="Lucida Sans Unicode" w:hAnsi="Lucida Sans Unicode" w:cs="Lucida Sans Unicode"/>
          <w:b/>
          <w:bCs/>
          <w:i w:val="0"/>
          <w:iCs w:val="0"/>
          <w:color w:val="4C6F99"/>
          <w:sz w:val="20"/>
          <w:szCs w:val="20"/>
        </w:rPr>
        <w:t>Artículo 8</w:t>
      </w:r>
      <w:r>
        <w:rPr>
          <w:rStyle w:val="apple-converted-space"/>
          <w:rFonts w:ascii="Lucida Sans Unicode" w:hAnsi="Lucida Sans Unicode" w:cs="Lucida Sans Unicode"/>
          <w:b/>
          <w:bCs/>
          <w:color w:val="4C6F99"/>
          <w:sz w:val="20"/>
          <w:szCs w:val="20"/>
        </w:rPr>
        <w:t> </w:t>
      </w:r>
      <w:r>
        <w:rPr>
          <w:rFonts w:ascii="Lucida Sans Unicode" w:hAnsi="Lucida Sans Unicode" w:cs="Lucida Sans Unicode"/>
          <w:b/>
          <w:bCs/>
          <w:color w:val="4C6F99"/>
          <w:sz w:val="20"/>
          <w:szCs w:val="20"/>
        </w:rPr>
        <w:t>Derecho a una segunda opinión</w:t>
      </w:r>
    </w:p>
    <w:p w:rsidR="006D3772" w:rsidRDefault="006D3772" w:rsidP="006D3772">
      <w:pPr>
        <w:pStyle w:val="NormalWeb"/>
        <w:shd w:val="clear" w:color="auto" w:fill="FFFFFF"/>
        <w:spacing w:before="0" w:beforeAutospacing="0" w:after="158" w:afterAutospacing="0" w:line="208" w:lineRule="atLeast"/>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Los pacientes de los centros y servicios sanitarios integrados y adscritos al Servicio Canario de la Salud tienen el derecho a la segunda opinión facultativa. A tal fin, reglamentariamente se regularán los procedimientos de obtención de información suplementaria o alternativa ante recomendaciones terapéuticas o indicaciones diagnósticas de elevada transcendencia individual.</w:t>
      </w:r>
    </w:p>
    <w:p w:rsidR="004C0232" w:rsidRDefault="004C0232">
      <w:pPr>
        <w:rPr>
          <w:color w:val="FF0000"/>
        </w:rPr>
      </w:pPr>
    </w:p>
    <w:p w:rsidR="002B40E5" w:rsidRDefault="002B40E5">
      <w:r w:rsidRPr="004C0232">
        <w:rPr>
          <w:color w:val="FF0000"/>
        </w:rPr>
        <w:t>ARAGÓN</w:t>
      </w:r>
    </w:p>
    <w:p w:rsidR="004C0232" w:rsidRDefault="00B07657">
      <w:pPr>
        <w:rPr>
          <w:color w:val="FF0000"/>
        </w:rPr>
      </w:pPr>
      <w:r>
        <w:br/>
      </w:r>
      <w:r>
        <w:rPr>
          <w:rFonts w:ascii="Georgia" w:hAnsi="Georgia"/>
          <w:b/>
          <w:bCs/>
          <w:color w:val="3C587E"/>
          <w:shd w:val="clear" w:color="auto" w:fill="FFFFFF"/>
        </w:rPr>
        <w:t>Decreto 35/2010, de 9 de marzo, del Gobierno de Aragón, por el que se regula el ejercicio del derecho a la segunda opinión médica</w:t>
      </w:r>
    </w:p>
    <w:p w:rsidR="002B40E5" w:rsidRPr="004C0232" w:rsidRDefault="002B40E5">
      <w:pPr>
        <w:rPr>
          <w:color w:val="FF0000"/>
        </w:rPr>
      </w:pPr>
      <w:r w:rsidRPr="004C0232">
        <w:rPr>
          <w:color w:val="FF0000"/>
        </w:rPr>
        <w:t>BALEARES</w:t>
      </w:r>
    </w:p>
    <w:p w:rsidR="00B07657" w:rsidRDefault="00B07657" w:rsidP="00B07657">
      <w:pPr>
        <w:pStyle w:val="Ttulo3"/>
        <w:shd w:val="clear" w:color="auto" w:fill="FFFFFF"/>
        <w:spacing w:before="225" w:after="225"/>
        <w:rPr>
          <w:rFonts w:ascii="Georgia" w:hAnsi="Georgia"/>
          <w:color w:val="3C587E"/>
          <w:sz w:val="24"/>
          <w:szCs w:val="24"/>
        </w:rPr>
      </w:pPr>
      <w:r>
        <w:rPr>
          <w:rFonts w:ascii="Georgia" w:hAnsi="Georgia"/>
          <w:color w:val="3C587E"/>
          <w:sz w:val="24"/>
          <w:szCs w:val="24"/>
        </w:rPr>
        <w:t>Ley 5/2003 de 4 de abril, de salud de las Illes Balears (Vigente hasta el 28 de Junio de 2015).</w:t>
      </w:r>
    </w:p>
    <w:p w:rsidR="004C0232" w:rsidRDefault="004C0232">
      <w:pPr>
        <w:rPr>
          <w:color w:val="FF0000"/>
        </w:rPr>
      </w:pPr>
    </w:p>
    <w:p w:rsidR="004C0232" w:rsidRPr="004C0232" w:rsidRDefault="004C0232">
      <w:pPr>
        <w:rPr>
          <w:color w:val="FF0000"/>
        </w:rPr>
      </w:pPr>
    </w:p>
    <w:sectPr w:rsidR="004C0232" w:rsidRPr="004C02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3A6"/>
    <w:multiLevelType w:val="multilevel"/>
    <w:tmpl w:val="CD74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02666"/>
    <w:multiLevelType w:val="multilevel"/>
    <w:tmpl w:val="8346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7767C"/>
    <w:multiLevelType w:val="multilevel"/>
    <w:tmpl w:val="9C2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C2A8A"/>
    <w:multiLevelType w:val="multilevel"/>
    <w:tmpl w:val="56F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5"/>
    <w:rsid w:val="001B350A"/>
    <w:rsid w:val="002B40E5"/>
    <w:rsid w:val="004C0232"/>
    <w:rsid w:val="006C7FA3"/>
    <w:rsid w:val="006D3772"/>
    <w:rsid w:val="00B07657"/>
    <w:rsid w:val="00BD6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D3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B40E5"/>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B4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B40E5"/>
    <w:rPr>
      <w:rFonts w:ascii="Times New Roman" w:eastAsia="Times New Roman" w:hAnsi="Times New Roman" w:cs="Times New Roman"/>
      <w:b/>
      <w:bCs/>
      <w:sz w:val="36"/>
      <w:szCs w:val="36"/>
      <w:lang w:eastAsia="es-ES"/>
    </w:rPr>
  </w:style>
  <w:style w:type="character" w:customStyle="1" w:styleId="letrageneral">
    <w:name w:val="letra_general"/>
    <w:basedOn w:val="Fuentedeprrafopredeter"/>
    <w:rsid w:val="002B40E5"/>
  </w:style>
  <w:style w:type="character" w:customStyle="1" w:styleId="apple-converted-space">
    <w:name w:val="apple-converted-space"/>
    <w:basedOn w:val="Fuentedeprrafopredeter"/>
    <w:rsid w:val="002B40E5"/>
  </w:style>
  <w:style w:type="character" w:styleId="Hipervnculo">
    <w:name w:val="Hyperlink"/>
    <w:basedOn w:val="Fuentedeprrafopredeter"/>
    <w:uiPriority w:val="99"/>
    <w:unhideWhenUsed/>
    <w:rsid w:val="002B40E5"/>
    <w:rPr>
      <w:color w:val="0000FF"/>
      <w:u w:val="single"/>
    </w:rPr>
  </w:style>
  <w:style w:type="character" w:customStyle="1" w:styleId="fwslinkextern">
    <w:name w:val="fw_slinkextern"/>
    <w:basedOn w:val="Fuentedeprrafopredeter"/>
    <w:rsid w:val="002B40E5"/>
  </w:style>
  <w:style w:type="character" w:customStyle="1" w:styleId="Ttulo3Car">
    <w:name w:val="Título 3 Car"/>
    <w:basedOn w:val="Fuentedeprrafopredeter"/>
    <w:link w:val="Ttulo3"/>
    <w:uiPriority w:val="9"/>
    <w:semiHidden/>
    <w:rsid w:val="002B40E5"/>
    <w:rPr>
      <w:rFonts w:asciiTheme="majorHAnsi" w:eastAsiaTheme="majorEastAsia" w:hAnsiTheme="majorHAnsi" w:cstheme="majorBidi"/>
      <w:b/>
      <w:bCs/>
      <w:color w:val="4F81BD" w:themeColor="accent1"/>
    </w:rPr>
  </w:style>
  <w:style w:type="character" w:customStyle="1" w:styleId="fechadoc">
    <w:name w:val="fecha_doc"/>
    <w:basedOn w:val="Fuentedeprrafopredeter"/>
    <w:rsid w:val="002B40E5"/>
  </w:style>
  <w:style w:type="character" w:customStyle="1" w:styleId="refbd">
    <w:name w:val="ref_bd"/>
    <w:basedOn w:val="Fuentedeprrafopredeter"/>
    <w:rsid w:val="002B40E5"/>
  </w:style>
  <w:style w:type="paragraph" w:customStyle="1" w:styleId="parrafoizquierda">
    <w:name w:val="parrafoizquierda"/>
    <w:basedOn w:val="Normal"/>
    <w:rsid w:val="004C0232"/>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a">
    <w:name w:val="a"/>
    <w:basedOn w:val="Normal"/>
    <w:rsid w:val="00B07657"/>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7657"/>
    <w:rPr>
      <w:i/>
      <w:iCs/>
    </w:rPr>
  </w:style>
  <w:style w:type="paragraph" w:styleId="NormalWeb">
    <w:name w:val="Normal (Web)"/>
    <w:basedOn w:val="Normal"/>
    <w:uiPriority w:val="99"/>
    <w:semiHidden/>
    <w:unhideWhenUsed/>
    <w:rsid w:val="00B07657"/>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D37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D3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B40E5"/>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B4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B40E5"/>
    <w:rPr>
      <w:rFonts w:ascii="Times New Roman" w:eastAsia="Times New Roman" w:hAnsi="Times New Roman" w:cs="Times New Roman"/>
      <w:b/>
      <w:bCs/>
      <w:sz w:val="36"/>
      <w:szCs w:val="36"/>
      <w:lang w:eastAsia="es-ES"/>
    </w:rPr>
  </w:style>
  <w:style w:type="character" w:customStyle="1" w:styleId="letrageneral">
    <w:name w:val="letra_general"/>
    <w:basedOn w:val="Fuentedeprrafopredeter"/>
    <w:rsid w:val="002B40E5"/>
  </w:style>
  <w:style w:type="character" w:customStyle="1" w:styleId="apple-converted-space">
    <w:name w:val="apple-converted-space"/>
    <w:basedOn w:val="Fuentedeprrafopredeter"/>
    <w:rsid w:val="002B40E5"/>
  </w:style>
  <w:style w:type="character" w:styleId="Hipervnculo">
    <w:name w:val="Hyperlink"/>
    <w:basedOn w:val="Fuentedeprrafopredeter"/>
    <w:uiPriority w:val="99"/>
    <w:unhideWhenUsed/>
    <w:rsid w:val="002B40E5"/>
    <w:rPr>
      <w:color w:val="0000FF"/>
      <w:u w:val="single"/>
    </w:rPr>
  </w:style>
  <w:style w:type="character" w:customStyle="1" w:styleId="fwslinkextern">
    <w:name w:val="fw_slinkextern"/>
    <w:basedOn w:val="Fuentedeprrafopredeter"/>
    <w:rsid w:val="002B40E5"/>
  </w:style>
  <w:style w:type="character" w:customStyle="1" w:styleId="Ttulo3Car">
    <w:name w:val="Título 3 Car"/>
    <w:basedOn w:val="Fuentedeprrafopredeter"/>
    <w:link w:val="Ttulo3"/>
    <w:uiPriority w:val="9"/>
    <w:semiHidden/>
    <w:rsid w:val="002B40E5"/>
    <w:rPr>
      <w:rFonts w:asciiTheme="majorHAnsi" w:eastAsiaTheme="majorEastAsia" w:hAnsiTheme="majorHAnsi" w:cstheme="majorBidi"/>
      <w:b/>
      <w:bCs/>
      <w:color w:val="4F81BD" w:themeColor="accent1"/>
    </w:rPr>
  </w:style>
  <w:style w:type="character" w:customStyle="1" w:styleId="fechadoc">
    <w:name w:val="fecha_doc"/>
    <w:basedOn w:val="Fuentedeprrafopredeter"/>
    <w:rsid w:val="002B40E5"/>
  </w:style>
  <w:style w:type="character" w:customStyle="1" w:styleId="refbd">
    <w:name w:val="ref_bd"/>
    <w:basedOn w:val="Fuentedeprrafopredeter"/>
    <w:rsid w:val="002B40E5"/>
  </w:style>
  <w:style w:type="paragraph" w:customStyle="1" w:styleId="parrafoizquierda">
    <w:name w:val="parrafoizquierda"/>
    <w:basedOn w:val="Normal"/>
    <w:rsid w:val="004C0232"/>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a">
    <w:name w:val="a"/>
    <w:basedOn w:val="Normal"/>
    <w:rsid w:val="00B07657"/>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7657"/>
    <w:rPr>
      <w:i/>
      <w:iCs/>
    </w:rPr>
  </w:style>
  <w:style w:type="paragraph" w:styleId="NormalWeb">
    <w:name w:val="Normal (Web)"/>
    <w:basedOn w:val="Normal"/>
    <w:uiPriority w:val="99"/>
    <w:semiHidden/>
    <w:unhideWhenUsed/>
    <w:rsid w:val="00B07657"/>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D37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161">
      <w:bodyDiv w:val="1"/>
      <w:marLeft w:val="0"/>
      <w:marRight w:val="0"/>
      <w:marTop w:val="0"/>
      <w:marBottom w:val="0"/>
      <w:divBdr>
        <w:top w:val="none" w:sz="0" w:space="0" w:color="auto"/>
        <w:left w:val="none" w:sz="0" w:space="0" w:color="auto"/>
        <w:bottom w:val="none" w:sz="0" w:space="0" w:color="auto"/>
        <w:right w:val="none" w:sz="0" w:space="0" w:color="auto"/>
      </w:divBdr>
    </w:div>
    <w:div w:id="232744039">
      <w:bodyDiv w:val="1"/>
      <w:marLeft w:val="0"/>
      <w:marRight w:val="0"/>
      <w:marTop w:val="0"/>
      <w:marBottom w:val="0"/>
      <w:divBdr>
        <w:top w:val="none" w:sz="0" w:space="0" w:color="auto"/>
        <w:left w:val="none" w:sz="0" w:space="0" w:color="auto"/>
        <w:bottom w:val="none" w:sz="0" w:space="0" w:color="auto"/>
        <w:right w:val="none" w:sz="0" w:space="0" w:color="auto"/>
      </w:divBdr>
    </w:div>
    <w:div w:id="245966075">
      <w:bodyDiv w:val="1"/>
      <w:marLeft w:val="0"/>
      <w:marRight w:val="0"/>
      <w:marTop w:val="0"/>
      <w:marBottom w:val="0"/>
      <w:divBdr>
        <w:top w:val="none" w:sz="0" w:space="0" w:color="auto"/>
        <w:left w:val="none" w:sz="0" w:space="0" w:color="auto"/>
        <w:bottom w:val="none" w:sz="0" w:space="0" w:color="auto"/>
        <w:right w:val="none" w:sz="0" w:space="0" w:color="auto"/>
      </w:divBdr>
    </w:div>
    <w:div w:id="377972049">
      <w:bodyDiv w:val="1"/>
      <w:marLeft w:val="0"/>
      <w:marRight w:val="0"/>
      <w:marTop w:val="0"/>
      <w:marBottom w:val="0"/>
      <w:divBdr>
        <w:top w:val="none" w:sz="0" w:space="0" w:color="auto"/>
        <w:left w:val="none" w:sz="0" w:space="0" w:color="auto"/>
        <w:bottom w:val="none" w:sz="0" w:space="0" w:color="auto"/>
        <w:right w:val="none" w:sz="0" w:space="0" w:color="auto"/>
      </w:divBdr>
    </w:div>
    <w:div w:id="533731049">
      <w:bodyDiv w:val="1"/>
      <w:marLeft w:val="0"/>
      <w:marRight w:val="0"/>
      <w:marTop w:val="0"/>
      <w:marBottom w:val="0"/>
      <w:divBdr>
        <w:top w:val="none" w:sz="0" w:space="0" w:color="auto"/>
        <w:left w:val="none" w:sz="0" w:space="0" w:color="auto"/>
        <w:bottom w:val="none" w:sz="0" w:space="0" w:color="auto"/>
        <w:right w:val="none" w:sz="0" w:space="0" w:color="auto"/>
      </w:divBdr>
    </w:div>
    <w:div w:id="969170156">
      <w:bodyDiv w:val="1"/>
      <w:marLeft w:val="0"/>
      <w:marRight w:val="0"/>
      <w:marTop w:val="0"/>
      <w:marBottom w:val="0"/>
      <w:divBdr>
        <w:top w:val="none" w:sz="0" w:space="0" w:color="auto"/>
        <w:left w:val="none" w:sz="0" w:space="0" w:color="auto"/>
        <w:bottom w:val="none" w:sz="0" w:space="0" w:color="auto"/>
        <w:right w:val="none" w:sz="0" w:space="0" w:color="auto"/>
      </w:divBdr>
    </w:div>
    <w:div w:id="1167790991">
      <w:bodyDiv w:val="1"/>
      <w:marLeft w:val="0"/>
      <w:marRight w:val="0"/>
      <w:marTop w:val="0"/>
      <w:marBottom w:val="0"/>
      <w:divBdr>
        <w:top w:val="none" w:sz="0" w:space="0" w:color="auto"/>
        <w:left w:val="none" w:sz="0" w:space="0" w:color="auto"/>
        <w:bottom w:val="none" w:sz="0" w:space="0" w:color="auto"/>
        <w:right w:val="none" w:sz="0" w:space="0" w:color="auto"/>
      </w:divBdr>
    </w:div>
    <w:div w:id="1182159191">
      <w:bodyDiv w:val="1"/>
      <w:marLeft w:val="0"/>
      <w:marRight w:val="0"/>
      <w:marTop w:val="0"/>
      <w:marBottom w:val="0"/>
      <w:divBdr>
        <w:top w:val="none" w:sz="0" w:space="0" w:color="auto"/>
        <w:left w:val="none" w:sz="0" w:space="0" w:color="auto"/>
        <w:bottom w:val="none" w:sz="0" w:space="0" w:color="auto"/>
        <w:right w:val="none" w:sz="0" w:space="0" w:color="auto"/>
      </w:divBdr>
    </w:div>
    <w:div w:id="1397628933">
      <w:bodyDiv w:val="1"/>
      <w:marLeft w:val="0"/>
      <w:marRight w:val="0"/>
      <w:marTop w:val="0"/>
      <w:marBottom w:val="0"/>
      <w:divBdr>
        <w:top w:val="none" w:sz="0" w:space="0" w:color="auto"/>
        <w:left w:val="none" w:sz="0" w:space="0" w:color="auto"/>
        <w:bottom w:val="none" w:sz="0" w:space="0" w:color="auto"/>
        <w:right w:val="none" w:sz="0" w:space="0" w:color="auto"/>
      </w:divBdr>
    </w:div>
    <w:div w:id="1440376003">
      <w:bodyDiv w:val="1"/>
      <w:marLeft w:val="0"/>
      <w:marRight w:val="0"/>
      <w:marTop w:val="0"/>
      <w:marBottom w:val="0"/>
      <w:divBdr>
        <w:top w:val="none" w:sz="0" w:space="0" w:color="auto"/>
        <w:left w:val="none" w:sz="0" w:space="0" w:color="auto"/>
        <w:bottom w:val="none" w:sz="0" w:space="0" w:color="auto"/>
        <w:right w:val="none" w:sz="0" w:space="0" w:color="auto"/>
      </w:divBdr>
    </w:div>
    <w:div w:id="1490827784">
      <w:bodyDiv w:val="1"/>
      <w:marLeft w:val="0"/>
      <w:marRight w:val="0"/>
      <w:marTop w:val="0"/>
      <w:marBottom w:val="0"/>
      <w:divBdr>
        <w:top w:val="none" w:sz="0" w:space="0" w:color="auto"/>
        <w:left w:val="none" w:sz="0" w:space="0" w:color="auto"/>
        <w:bottom w:val="none" w:sz="0" w:space="0" w:color="auto"/>
        <w:right w:val="none" w:sz="0" w:space="0" w:color="auto"/>
      </w:divBdr>
    </w:div>
    <w:div w:id="1544319326">
      <w:bodyDiv w:val="1"/>
      <w:marLeft w:val="0"/>
      <w:marRight w:val="0"/>
      <w:marTop w:val="0"/>
      <w:marBottom w:val="0"/>
      <w:divBdr>
        <w:top w:val="none" w:sz="0" w:space="0" w:color="auto"/>
        <w:left w:val="none" w:sz="0" w:space="0" w:color="auto"/>
        <w:bottom w:val="none" w:sz="0" w:space="0" w:color="auto"/>
        <w:right w:val="none" w:sz="0" w:space="0" w:color="auto"/>
      </w:divBdr>
    </w:div>
    <w:div w:id="1820733920">
      <w:bodyDiv w:val="1"/>
      <w:marLeft w:val="0"/>
      <w:marRight w:val="0"/>
      <w:marTop w:val="0"/>
      <w:marBottom w:val="0"/>
      <w:divBdr>
        <w:top w:val="none" w:sz="0" w:space="0" w:color="auto"/>
        <w:left w:val="none" w:sz="0" w:space="0" w:color="auto"/>
        <w:bottom w:val="none" w:sz="0" w:space="0" w:color="auto"/>
        <w:right w:val="none" w:sz="0" w:space="0" w:color="auto"/>
      </w:divBdr>
    </w:div>
    <w:div w:id="1869756811">
      <w:bodyDiv w:val="1"/>
      <w:marLeft w:val="0"/>
      <w:marRight w:val="0"/>
      <w:marTop w:val="0"/>
      <w:marBottom w:val="0"/>
      <w:divBdr>
        <w:top w:val="none" w:sz="0" w:space="0" w:color="auto"/>
        <w:left w:val="none" w:sz="0" w:space="0" w:color="auto"/>
        <w:bottom w:val="none" w:sz="0" w:space="0" w:color="auto"/>
        <w:right w:val="none" w:sz="0" w:space="0" w:color="auto"/>
      </w:divBdr>
    </w:div>
    <w:div w:id="19328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003.juntadeandalucia.es/docs/ayuda/norma_ORDEN_DE_24_08_2004.pdf" TargetMode="External"/><Relationship Id="rId13" Type="http://schemas.openxmlformats.org/officeDocument/2006/relationships/hyperlink" Target="http://defensorusuarios.saludextremadura.com/docs/segunda_opinion.pdf" TargetMode="External"/><Relationship Id="rId3" Type="http://schemas.microsoft.com/office/2007/relationships/stylesWithEffects" Target="stylesWithEffects.xml"/><Relationship Id="rId7" Type="http://schemas.openxmlformats.org/officeDocument/2006/relationships/hyperlink" Target="http://ws003.juntadeandalucia.es/docs/ayuda/norma_DECRETO_127_2003_DE_13_05_2003.pdf" TargetMode="External"/><Relationship Id="rId12" Type="http://schemas.openxmlformats.org/officeDocument/2006/relationships/hyperlink" Target="http://www.docv.gva.es/portal/ficha_disposicion_pc.jsp?sig=007370/2009&amp;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s003.juntadeandalucia.es/docs/ayuda/norma_LEY_2_1998_DE_15_06_1998.pdf" TargetMode="External"/><Relationship Id="rId11" Type="http://schemas.openxmlformats.org/officeDocument/2006/relationships/hyperlink" Target="http://catsalut.gencat.cat/es/ciutadania/que-vols-fer/gestions-relacionades-visites-diagnostics-metges-centres/demanar-segona-opinio-med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ncat.cat/diari/4899/07152017.htm" TargetMode="External"/><Relationship Id="rId4" Type="http://schemas.openxmlformats.org/officeDocument/2006/relationships/settings" Target="settings.xml"/><Relationship Id="rId9" Type="http://schemas.openxmlformats.org/officeDocument/2006/relationships/hyperlink" Target="https://www.gencat.cat/diari/4899/07152017.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MRC</cp:lastModifiedBy>
  <cp:revision>2</cp:revision>
  <dcterms:created xsi:type="dcterms:W3CDTF">2015-10-01T20:29:00Z</dcterms:created>
  <dcterms:modified xsi:type="dcterms:W3CDTF">2015-10-01T20:29:00Z</dcterms:modified>
</cp:coreProperties>
</file>